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0" w:name="tribunal-da-comarca-de-lisboa"/>
    <w:p>
      <w:pPr>
        <w:pStyle w:val="Heading2"/>
      </w:pPr>
      <w:r>
        <w:t xml:space="preserve">Tribunal da Comarca de Lisboa</w:t>
      </w:r>
    </w:p>
    <w:p>
      <w:pPr>
        <w:pStyle w:val="FirstParagraph"/>
      </w:pPr>
      <w:r>
        <w:rPr>
          <w:b/>
          <w:bCs/>
        </w:rPr>
        <w:t xml:space="preserve">Secção de Trabalho</w:t>
      </w:r>
    </w:p>
    <w:bookmarkStart w:id="9" w:name="X37675157aab2518bbc5e82c1a84542583bec20d"/>
    <w:p>
      <w:pPr>
        <w:pStyle w:val="Heading3"/>
      </w:pPr>
      <w:r>
        <w:t xml:space="preserve">Processo n.º 1234/2026 – Despedimento por Justa Causa</w:t>
      </w:r>
    </w:p>
    <w:p>
      <w:pPr>
        <w:pStyle w:val="FirstParagraph"/>
      </w:pPr>
      <w:r>
        <w:rPr>
          <w:b/>
          <w:bCs/>
        </w:rPr>
        <w:t xml:space="preserve">Requerente:</w:t>
      </w:r>
      <w:r>
        <w:br/>
      </w:r>
      <w:r>
        <w:rPr>
          <w:b/>
          <w:bCs/>
        </w:rPr>
        <w:t xml:space="preserve">José Manuel da Silva</w:t>
      </w:r>
      <w:r>
        <w:t xml:space="preserve">, solteiro, nascido a 12 de março de 1978, residente em Rua da Liberdade, 45, 1.º Esq., 1250‑147 Lisboa, titular do NIF 123 456 789, portador do Cartão de Cidadão nº 12345678, representado por</w:t>
      </w:r>
      <w:r>
        <w:t xml:space="preserve"> </w:t>
      </w:r>
      <w:r>
        <w:rPr>
          <w:b/>
          <w:bCs/>
        </w:rPr>
        <w:t xml:space="preserve">Dr. António Ribeiro</w:t>
      </w:r>
      <w:r>
        <w:t xml:space="preserve">, advogado, OAB nº 12345, com escritório na Avenida das Forças Armadas, 45, 3.º Esq., 1600‑071 Lisboa, e por</w:t>
      </w:r>
      <w:r>
        <w:t xml:space="preserve"> </w:t>
      </w:r>
      <w:r>
        <w:rPr>
          <w:b/>
          <w:bCs/>
        </w:rPr>
        <w:t xml:space="preserve">Dra. Sofia Carvalho</w:t>
      </w:r>
      <w:r>
        <w:t xml:space="preserve">, advogada, OAB nº 67890, com escritório na Rua de São Bento, 22, 2.º Dto., 1200‑821 Lisboa.</w:t>
      </w:r>
    </w:p>
    <w:p>
      <w:pPr>
        <w:pStyle w:val="BodyText"/>
      </w:pPr>
      <w:r>
        <w:rPr>
          <w:b/>
          <w:bCs/>
        </w:rPr>
        <w:t xml:space="preserve">Requerido:</w:t>
      </w:r>
      <w:r>
        <w:br/>
      </w:r>
      <w:r>
        <w:rPr>
          <w:b/>
          <w:bCs/>
        </w:rPr>
        <w:t xml:space="preserve">Empresa XYZ, Lda.</w:t>
      </w:r>
      <w:r>
        <w:t xml:space="preserve">, pessoa coletiva de direito privado, com sede em Avenida da República, 100, 3.º, 1050‑190 Lisboa, NIF 504 321 987, representada por seu Diretor‑Executivo, Sr. Carlos Alberto Mendes, com poderes conferidos por escritura pública de 10 de janeiro de 2022, devidamente inscrita na Conservatória do Registo Comercial de Lisboa sob o número 2022/001234.</w:t>
      </w:r>
    </w:p>
    <w:p>
      <w:pPr>
        <w:pStyle w:val="BodyText"/>
      </w:pPr>
      <w:r>
        <w:rPr>
          <w:b/>
          <w:bCs/>
        </w:rPr>
        <w:t xml:space="preserve">Juíza:</w:t>
      </w:r>
      <w:r>
        <w:t xml:space="preserve"> </w:t>
      </w:r>
      <w:r>
        <w:t xml:space="preserve">Dr.ª Maria de Lurdes Santos</w:t>
      </w:r>
    </w:p>
    <w:p>
      <w:r>
        <w:pict>
          <v:rect style="width:0;height:1.5pt" o:hralign="center" o:hrstd="t" o:hr="t"/>
        </w:pict>
      </w:r>
    </w:p>
    <w:bookmarkEnd w:id="9"/>
    <w:bookmarkEnd w:id="10"/>
    <w:bookmarkStart w:id="20" w:name="X0360aa550817f6ed13b3ea9216efad7b56ae25d"/>
    <w:p>
      <w:pPr>
        <w:pStyle w:val="Heading2"/>
      </w:pPr>
      <w:r>
        <w:t xml:space="preserve">PETIÇÃO INICIAL – RECLAMAÇÃO DE DESPEDIMENTO POR JUSTA CAUSA</w:t>
      </w:r>
    </w:p>
    <w:bookmarkStart w:id="11" w:name="i-dos-factos"/>
    <w:p>
      <w:pPr>
        <w:pStyle w:val="Heading3"/>
      </w:pPr>
      <w:r>
        <w:t xml:space="preserve">I – DOS FACTOS</w:t>
      </w:r>
    </w:p>
    <w:p>
      <w:pPr>
        <w:numPr>
          <w:ilvl w:val="0"/>
          <w:numId w:val="1001"/>
        </w:numPr>
      </w:pPr>
      <w:r>
        <w:t xml:space="preserve">O Requerente foi admitido pela Requerida em</w:t>
      </w:r>
      <w:r>
        <w:t xml:space="preserve"> </w:t>
      </w:r>
      <w:r>
        <w:rPr>
          <w:b/>
          <w:bCs/>
        </w:rPr>
        <w:t xml:space="preserve">15 de março de 2012</w:t>
      </w:r>
      <w:r>
        <w:t xml:space="preserve">, para o exercício da função de</w:t>
      </w:r>
      <w:r>
        <w:t xml:space="preserve"> </w:t>
      </w:r>
      <w:r>
        <w:rPr>
          <w:b/>
          <w:bCs/>
        </w:rPr>
        <w:t xml:space="preserve">Analista de Sistemas</w:t>
      </w:r>
      <w:r>
        <w:t xml:space="preserve">, com contrato de trabalho a termo indeterminado, com salário base mensal de</w:t>
      </w:r>
      <w:r>
        <w:t xml:space="preserve"> </w:t>
      </w:r>
      <w:r>
        <w:rPr>
          <w:b/>
          <w:bCs/>
        </w:rPr>
        <w:t xml:space="preserve">1 200,00 €</w:t>
      </w:r>
      <w:r>
        <w:t xml:space="preserve">.</w:t>
      </w:r>
    </w:p>
    <w:p>
      <w:pPr>
        <w:numPr>
          <w:ilvl w:val="0"/>
          <w:numId w:val="1001"/>
        </w:numPr>
      </w:pPr>
      <w:r>
        <w:t xml:space="preserve">Ao longo de</w:t>
      </w:r>
      <w:r>
        <w:t xml:space="preserve"> </w:t>
      </w:r>
      <w:r>
        <w:rPr>
          <w:b/>
          <w:bCs/>
        </w:rPr>
        <w:t xml:space="preserve">doze (12) anos</w:t>
      </w:r>
      <w:r>
        <w:t xml:space="preserve"> </w:t>
      </w:r>
      <w:r>
        <w:t xml:space="preserve">de prestação de serviços, o Requerente manteve um histórico de assiduidade e desempenho satisfatórios, tendo sido reconhecido por duas vezes com a “Medalha de Mérito Interno” da empresa (2015 e 2019).</w:t>
      </w:r>
    </w:p>
    <w:p>
      <w:pPr>
        <w:numPr>
          <w:ilvl w:val="0"/>
          <w:numId w:val="1001"/>
        </w:numPr>
      </w:pPr>
      <w:r>
        <w:t xml:space="preserve">Em</w:t>
      </w:r>
      <w:r>
        <w:t xml:space="preserve"> </w:t>
      </w:r>
      <w:r>
        <w:rPr>
          <w:b/>
          <w:bCs/>
        </w:rPr>
        <w:t xml:space="preserve">20 de novembro de 2025</w:t>
      </w:r>
      <w:r>
        <w:t xml:space="preserve">, a Requerida enviou ao Requerente, por meio de carta registada com aviso de receção, a</w:t>
      </w:r>
      <w:r>
        <w:t xml:space="preserve"> </w:t>
      </w:r>
      <w:r>
        <w:rPr>
          <w:b/>
          <w:bCs/>
        </w:rPr>
        <w:t xml:space="preserve">notificação de despedimento por justa causa</w:t>
      </w:r>
      <w:r>
        <w:t xml:space="preserve">, alegando “uso indevido do email corporativo e violação do dever de lealdade”.</w:t>
      </w:r>
    </w:p>
    <w:p>
      <w:pPr>
        <w:numPr>
          <w:ilvl w:val="0"/>
          <w:numId w:val="1001"/>
        </w:numPr>
      </w:pPr>
      <w:r>
        <w:t xml:space="preserve">Na referida notificação, a empresa limitou‑se a assinalar que o Requerente teria enviado, em</w:t>
      </w:r>
      <w:r>
        <w:t xml:space="preserve"> </w:t>
      </w:r>
      <w:r>
        <w:rPr>
          <w:b/>
          <w:bCs/>
        </w:rPr>
        <w:t xml:space="preserve">15 de outubro de 2025</w:t>
      </w:r>
      <w:r>
        <w:t xml:space="preserve">, duas mensagens pessoais ao seu endereço de email institucional (j.silva@xyz.pt), contendo contactos de familiares e a organização de um encontro social. Não foi apresentado nenhum documento que comprovasse a existência de informação confidencial, dano à empresa ou violação grave dos deveres contratuais.</w:t>
      </w:r>
    </w:p>
    <w:p>
      <w:pPr>
        <w:numPr>
          <w:ilvl w:val="0"/>
          <w:numId w:val="1001"/>
        </w:numPr>
      </w:pPr>
      <w:r>
        <w:t xml:space="preserve">A notificação não respeitou o</w:t>
      </w:r>
      <w:r>
        <w:t xml:space="preserve"> </w:t>
      </w:r>
      <w:r>
        <w:rPr>
          <w:b/>
          <w:bCs/>
        </w:rPr>
        <w:t xml:space="preserve">artigo 340.º do Código do Trabalho</w:t>
      </w:r>
      <w:r>
        <w:t xml:space="preserve">, que exige a comunicação escrita da causa do despedimento, com a indicação dos factos que a fundamentam, bem como a entrega prévia de cópia da decisão ao trabalhador, permitindo-lhe exercer o direito de defesa.</w:t>
      </w:r>
    </w:p>
    <w:p>
      <w:pPr>
        <w:numPr>
          <w:ilvl w:val="0"/>
          <w:numId w:val="1001"/>
        </w:numPr>
      </w:pPr>
      <w:r>
        <w:t xml:space="preserve">O Requerente, surpreendido, apresentou imediatamente a sua</w:t>
      </w:r>
      <w:r>
        <w:t xml:space="preserve"> </w:t>
      </w:r>
      <w:r>
        <w:rPr>
          <w:b/>
          <w:bCs/>
        </w:rPr>
        <w:t xml:space="preserve">contestações por escrito</w:t>
      </w:r>
      <w:r>
        <w:t xml:space="preserve"> </w:t>
      </w:r>
      <w:r>
        <w:t xml:space="preserve">à Requerida, solicitando a revogação da decisão e a manutenção do contrato, sem obter resposta.</w:t>
      </w:r>
    </w:p>
    <w:bookmarkEnd w:id="11"/>
    <w:bookmarkStart w:id="16" w:name="ii-do-direito"/>
    <w:p>
      <w:pPr>
        <w:pStyle w:val="Heading3"/>
      </w:pPr>
      <w:r>
        <w:t xml:space="preserve">II – DO DIREITO</w:t>
      </w:r>
    </w:p>
    <w:bookmarkStart w:id="12" w:name="da-inexistência-de-justa-causa"/>
    <w:p>
      <w:pPr>
        <w:pStyle w:val="Heading4"/>
      </w:pPr>
      <w:r>
        <w:t xml:space="preserve">2.1. Da inexistência de justa causa</w:t>
      </w:r>
    </w:p>
    <w:p>
      <w:pPr>
        <w:numPr>
          <w:ilvl w:val="0"/>
          <w:numId w:val="1002"/>
        </w:numPr>
      </w:pPr>
      <w:r>
        <w:t xml:space="preserve">O</w:t>
      </w:r>
      <w:r>
        <w:t xml:space="preserve"> </w:t>
      </w:r>
      <w:r>
        <w:rPr>
          <w:b/>
          <w:bCs/>
        </w:rPr>
        <w:t xml:space="preserve">artigo 351.º, n.º 1, alínea d) do Código do Trabalho</w:t>
      </w:r>
      <w:r>
        <w:t xml:space="preserve"> </w:t>
      </w:r>
      <w:r>
        <w:t xml:space="preserve">prevê como justa causa a violação grave dos deveres de lealdade e confidencialidade, somente quando tal violação cause prejuízo efetivo à empresa. No caso em apreço, a utilização do email corporativo para fins pessoais foi pontual, limitada a duas mensagens sem conteúdo sensível, inexistindo prejuízo material ou reputacional.</w:t>
      </w:r>
    </w:p>
    <w:p>
      <w:pPr>
        <w:numPr>
          <w:ilvl w:val="0"/>
          <w:numId w:val="1002"/>
        </w:numPr>
      </w:pPr>
      <w:r>
        <w:t xml:space="preserve">A jurisprudência do</w:t>
      </w:r>
      <w:r>
        <w:t xml:space="preserve"> </w:t>
      </w:r>
      <w:r>
        <w:rPr>
          <w:b/>
          <w:bCs/>
        </w:rPr>
        <w:t xml:space="preserve">Tribunal Supremo do Trabalho (Acórdão n.º 123/2020, 5.º T‑8/LSB)</w:t>
      </w:r>
      <w:r>
        <w:t xml:space="preserve"> </w:t>
      </w:r>
      <w:r>
        <w:t xml:space="preserve">estabelece que “a simples utilização ocasional de meios de comunicação internos para fins estritamente pessoais, não configurando violação de sigilo ou dano, não pode, isolada, justificar a resolução do contrato por justa causa”.</w:t>
      </w:r>
    </w:p>
    <w:bookmarkEnd w:id="12"/>
    <w:bookmarkStart w:id="13" w:name="X116d5e5c56fe20b349c30236c68651c6c259180"/>
    <w:p>
      <w:pPr>
        <w:pStyle w:val="Heading4"/>
      </w:pPr>
      <w:r>
        <w:t xml:space="preserve">2.2. Da violação dos requisitos formais de comunicação</w:t>
      </w:r>
    </w:p>
    <w:p>
      <w:pPr>
        <w:numPr>
          <w:ilvl w:val="0"/>
          <w:numId w:val="1003"/>
        </w:numPr>
      </w:pPr>
      <w:r>
        <w:t xml:space="preserve">O</w:t>
      </w:r>
      <w:r>
        <w:t xml:space="preserve"> </w:t>
      </w:r>
      <w:r>
        <w:rPr>
          <w:b/>
          <w:bCs/>
        </w:rPr>
        <w:t xml:space="preserve">artigo 340.º, n.º 1, alínea b) do Código do Trabalho</w:t>
      </w:r>
      <w:r>
        <w:t xml:space="preserve"> </w:t>
      </w:r>
      <w:r>
        <w:t xml:space="preserve">determina que a comunicação da justa causa deve conter a exposição detalhada dos factos, com indicação da data, hora e conteúdo das mensagens, bem como a entrega de cópia da decisão ao trabalhador. A notificação enviada pela Requerida limitou‑se a mencionar genericamente “uso indevido do email”, sem especificar as mensagens, nem oferecer ao Requerente a possibilidade de contestação prévia.</w:t>
      </w:r>
    </w:p>
    <w:p>
      <w:pPr>
        <w:numPr>
          <w:ilvl w:val="0"/>
          <w:numId w:val="1003"/>
        </w:numPr>
      </w:pPr>
      <w:r>
        <w:t xml:space="preserve">Tal omissão configura</w:t>
      </w:r>
      <w:r>
        <w:t xml:space="preserve"> </w:t>
      </w:r>
      <w:r>
        <w:rPr>
          <w:b/>
          <w:bCs/>
        </w:rPr>
        <w:t xml:space="preserve">nulidade da decisão de despedimento</w:t>
      </w:r>
      <w:r>
        <w:t xml:space="preserve"> </w:t>
      </w:r>
      <w:r>
        <w:t xml:space="preserve">nos termos do</w:t>
      </w:r>
      <w:r>
        <w:t xml:space="preserve"> </w:t>
      </w:r>
      <w:r>
        <w:rPr>
          <w:b/>
          <w:bCs/>
        </w:rPr>
        <w:t xml:space="preserve">artigo 351.º, n.º 5</w:t>
      </w:r>
      <w:r>
        <w:t xml:space="preserve">, por violação do direito de defesa e do princípio da proporcionalidade.</w:t>
      </w:r>
    </w:p>
    <w:bookmarkEnd w:id="13"/>
    <w:bookmarkStart w:id="14" w:name="da-proporcionalidade-da-sanção"/>
    <w:p>
      <w:pPr>
        <w:pStyle w:val="Heading4"/>
      </w:pPr>
      <w:r>
        <w:t xml:space="preserve">2.3. Da proporcionalidade da sanção</w:t>
      </w:r>
    </w:p>
    <w:p>
      <w:pPr>
        <w:pStyle w:val="Compact"/>
        <w:numPr>
          <w:ilvl w:val="0"/>
          <w:numId w:val="1004"/>
        </w:numPr>
      </w:pPr>
      <w:r>
        <w:t xml:space="preserve">Ainda que se admitisse, em abstrato, a existência de uma infração, o princípio da</w:t>
      </w:r>
      <w:r>
        <w:t xml:space="preserve"> </w:t>
      </w:r>
      <w:r>
        <w:rPr>
          <w:b/>
          <w:bCs/>
        </w:rPr>
        <w:t xml:space="preserve">proporcionalidade</w:t>
      </w:r>
      <w:r>
        <w:t xml:space="preserve"> </w:t>
      </w:r>
      <w:r>
        <w:t xml:space="preserve">(art. 351.º, n.º 2) impõe que a sanção seja adequada à gravidade da conduta. A aplicação de despedimento por justa causa a uma infração de menor relevância (mensagens pessoais) revela-se desproporcional, devendo ser aplicada uma medida disciplinar menos gravosa (advertência escrita).</w:t>
      </w:r>
    </w:p>
    <w:bookmarkEnd w:id="14"/>
    <w:bookmarkStart w:id="15" w:name="X6f600cbfa243118e8534919447843493fa76a7d"/>
    <w:p>
      <w:pPr>
        <w:pStyle w:val="Heading4"/>
      </w:pPr>
      <w:r>
        <w:t xml:space="preserve">2.4. Do direito à reintegração ou indemnização</w:t>
      </w:r>
    </w:p>
    <w:p>
      <w:pPr>
        <w:pStyle w:val="Compact"/>
        <w:numPr>
          <w:ilvl w:val="0"/>
          <w:numId w:val="1005"/>
        </w:numPr>
      </w:pPr>
      <w:r>
        <w:t xml:space="preserve">Nos termos do</w:t>
      </w:r>
      <w:r>
        <w:t xml:space="preserve"> </w:t>
      </w:r>
      <w:r>
        <w:rPr>
          <w:b/>
          <w:bCs/>
        </w:rPr>
        <w:t xml:space="preserve">artigo 351.º, n.º 4 do Código do Trabalho</w:t>
      </w:r>
      <w:r>
        <w:t xml:space="preserve">, a inexistência de justa causa autoriza o trabalhador a exigir a</w:t>
      </w:r>
      <w:r>
        <w:t xml:space="preserve"> </w:t>
      </w:r>
      <w:r>
        <w:rPr>
          <w:b/>
          <w:bCs/>
        </w:rPr>
        <w:t xml:space="preserve">reintegração</w:t>
      </w:r>
      <w:r>
        <w:t xml:space="preserve"> </w:t>
      </w:r>
      <w:r>
        <w:t xml:space="preserve">no posto de trabalho, com o pagamento dos salários vencidos e demais prestações devidas, ou, alternativamente, a</w:t>
      </w:r>
      <w:r>
        <w:t xml:space="preserve"> </w:t>
      </w:r>
      <w:r>
        <w:rPr>
          <w:b/>
          <w:bCs/>
        </w:rPr>
        <w:t xml:space="preserve">indemnização por despedimento ilícito</w:t>
      </w:r>
      <w:r>
        <w:t xml:space="preserve">, calculada de acordo com o artigo 353.º (30 dias de salário por cada ano completo de serviço, com um mínimo de 12 e um máximo de 24 meses).</w:t>
      </w:r>
    </w:p>
    <w:bookmarkEnd w:id="15"/>
    <w:bookmarkEnd w:id="16"/>
    <w:bookmarkStart w:id="17" w:name="iii-dos-pedidos"/>
    <w:p>
      <w:pPr>
        <w:pStyle w:val="Heading3"/>
      </w:pPr>
      <w:r>
        <w:t xml:space="preserve">III – DOS PEDIDOS</w:t>
      </w:r>
    </w:p>
    <w:p>
      <w:pPr>
        <w:pStyle w:val="FirstParagraph"/>
      </w:pPr>
      <w:r>
        <w:rPr>
          <w:b/>
          <w:bCs/>
        </w:rPr>
        <w:t xml:space="preserve">Pelo exposto, requer o Requerente a V. Exa.:</w:t>
      </w:r>
    </w:p>
    <w:tbl>
      <w:tblPr>
        <w:tblStyle w:val="Table"/>
        <w:tblW w:type="pct" w:w="5000"/>
        <w:tblLayout w:type="fixed"/>
        <w:tblLook w:firstRow="1" w:lastRow="0" w:firstColumn="0" w:lastColumn="0" w:noHBand="0" w:noVBand="0" w:val="0020"/>
      </w:tblPr>
      <w:tblGrid>
        <w:gridCol w:w="1414"/>
        <w:gridCol w:w="2262"/>
        <w:gridCol w:w="4242"/>
      </w:tblGrid>
      <w:tr>
        <w:trPr>
          <w:tblHeader w:val="on"/>
        </w:trPr>
        <w:tc>
          <w:tcPr/>
          <w:p>
            <w:pPr>
              <w:pStyle w:val="Compact"/>
            </w:pPr>
            <w:r>
              <w:t xml:space="preserve">N.º</w:t>
            </w:r>
          </w:p>
        </w:tc>
        <w:tc>
          <w:tcPr/>
          <w:p>
            <w:pPr>
              <w:pStyle w:val="Compact"/>
            </w:pPr>
            <w:r>
              <w:t xml:space="preserve">Pedido</w:t>
            </w:r>
          </w:p>
        </w:tc>
        <w:tc>
          <w:tcPr/>
          <w:p>
            <w:pPr>
              <w:pStyle w:val="Compact"/>
            </w:pPr>
            <w:r>
              <w:t xml:space="preserve">Fundamentação</w:t>
            </w:r>
          </w:p>
        </w:tc>
      </w:tr>
      <w:tr>
        <w:tc>
          <w:tcPr/>
          <w:p>
            <w:pPr>
              <w:pStyle w:val="Compact"/>
            </w:pPr>
            <w:r>
              <w:t xml:space="preserve">1</w:t>
            </w:r>
          </w:p>
        </w:tc>
        <w:tc>
          <w:tcPr/>
          <w:p>
            <w:pPr>
              <w:pStyle w:val="Compact"/>
            </w:pPr>
            <w:r>
              <w:rPr>
                <w:b/>
                <w:bCs/>
              </w:rPr>
              <w:t xml:space="preserve">A declaração de inexistência de justa causa</w:t>
            </w:r>
            <w:r>
              <w:t xml:space="preserve"> </w:t>
            </w:r>
            <w:r>
              <w:t xml:space="preserve">para o despedimento ocorrido em 20 de novembro de 2025.</w:t>
            </w:r>
          </w:p>
        </w:tc>
        <w:tc>
          <w:tcPr/>
          <w:p>
            <w:pPr>
              <w:pStyle w:val="Compact"/>
            </w:pPr>
            <w:r>
              <w:t xml:space="preserve">Art. 351.º, n.º 1, alínea d) do Código do Trabalho; jurisprudência.</w:t>
            </w:r>
          </w:p>
        </w:tc>
      </w:tr>
      <w:tr>
        <w:tc>
          <w:tcPr/>
          <w:p>
            <w:pPr>
              <w:pStyle w:val="Compact"/>
            </w:pPr>
            <w:r>
              <w:t xml:space="preserve">2</w:t>
            </w:r>
          </w:p>
        </w:tc>
        <w:tc>
          <w:tcPr/>
          <w:p>
            <w:pPr>
              <w:pStyle w:val="Compact"/>
            </w:pPr>
            <w:r>
              <w:rPr>
                <w:b/>
                <w:bCs/>
              </w:rPr>
              <w:t xml:space="preserve">A condenação da Requerida à reintegração</w:t>
            </w:r>
            <w:r>
              <w:t xml:space="preserve"> </w:t>
            </w:r>
            <w:r>
              <w:t xml:space="preserve">do Requerente no seu posto de Analista de Sistemas, com o pagamento dos salários vencidos desde a data do despedimento (20/11/2025) até à efetiva reintegração, bem como dos subsídios de férias e de Natal referentes ao mesmo período.</w:t>
            </w:r>
          </w:p>
        </w:tc>
        <w:tc>
          <w:tcPr/>
          <w:p>
            <w:pPr>
              <w:pStyle w:val="Compact"/>
            </w:pPr>
            <w:r>
              <w:t xml:space="preserve">Art. 351.º, n.º 4 do Código do Trabalho.</w:t>
            </w:r>
          </w:p>
        </w:tc>
      </w:tr>
      <w:tr>
        <w:tc>
          <w:tcPr/>
          <w:p>
            <w:pPr>
              <w:pStyle w:val="Compact"/>
            </w:pPr>
            <w:r>
              <w:t xml:space="preserve">3</w:t>
            </w:r>
          </w:p>
        </w:tc>
        <w:tc>
          <w:tcPr/>
          <w:p>
            <w:pPr>
              <w:pStyle w:val="Compact"/>
            </w:pPr>
            <w:r>
              <w:rPr>
                <w:b/>
                <w:bCs/>
              </w:rPr>
              <w:t xml:space="preserve">Subsidiariamente, caso V. Exa. entenda pela impossibilidade da reintegração</w:t>
            </w:r>
            <w:r>
              <w:t xml:space="preserve">, a condenação da Requerida ao pagamento de indemnização por despedimento ilícito, no valor de</w:t>
            </w:r>
            <w:r>
              <w:t xml:space="preserve"> </w:t>
            </w:r>
            <w:r>
              <w:rPr>
                <w:b/>
                <w:bCs/>
              </w:rPr>
              <w:t xml:space="preserve">30 (trinta) dias de salário base por cada ano completo de antiguidade (12 anos)</w:t>
            </w:r>
            <w:r>
              <w:t xml:space="preserve">, totalizando</w:t>
            </w:r>
            <w:r>
              <w:t xml:space="preserve"> </w:t>
            </w:r>
            <w:r>
              <w:rPr>
                <w:b/>
                <w:bCs/>
              </w:rPr>
              <w:t xml:space="preserve">432 000,00 €</w:t>
            </w:r>
            <w:r>
              <w:t xml:space="preserve"> </w:t>
            </w:r>
            <w:r>
              <w:t xml:space="preserve">(cálculo detalhado anexo).</w:t>
            </w:r>
          </w:p>
        </w:tc>
        <w:tc>
          <w:tcPr/>
          <w:p>
            <w:pPr>
              <w:pStyle w:val="Compact"/>
            </w:pPr>
            <w:r>
              <w:t xml:space="preserve">Art. 353.º do Código do Trabalho.</w:t>
            </w:r>
          </w:p>
        </w:tc>
      </w:tr>
      <w:tr>
        <w:tc>
          <w:tcPr/>
          <w:p>
            <w:pPr>
              <w:pStyle w:val="Compact"/>
            </w:pPr>
            <w:r>
              <w:t xml:space="preserve">4</w:t>
            </w:r>
          </w:p>
        </w:tc>
        <w:tc>
          <w:tcPr/>
          <w:p>
            <w:pPr>
              <w:pStyle w:val="Compact"/>
            </w:pPr>
            <w:r>
              <w:rPr>
                <w:b/>
                <w:bCs/>
              </w:rPr>
              <w:t xml:space="preserve">O pagamento das verbas devidas</w:t>
            </w:r>
            <w:r>
              <w:t xml:space="preserve">: salários em atraso (de 20/11/2025 a 31/12/2025), férias não gozadas (12 dias), subsídio de férias e de Natal proporcionais, totalizando</w:t>
            </w:r>
            <w:r>
              <w:t xml:space="preserve"> </w:t>
            </w:r>
            <w:r>
              <w:rPr>
                <w:b/>
                <w:bCs/>
              </w:rPr>
              <w:t xml:space="preserve">15 600,00 €</w:t>
            </w:r>
            <w:r>
              <w:t xml:space="preserve">.</w:t>
            </w:r>
          </w:p>
        </w:tc>
        <w:tc>
          <w:tcPr/>
          <w:p>
            <w:pPr>
              <w:pStyle w:val="Compact"/>
            </w:pPr>
            <w:r>
              <w:t xml:space="preserve">Art. 238.º e 239.º do Código do Trabalho.</w:t>
            </w:r>
          </w:p>
        </w:tc>
      </w:tr>
      <w:tr>
        <w:tc>
          <w:tcPr/>
          <w:p>
            <w:pPr>
              <w:pStyle w:val="Compact"/>
            </w:pPr>
            <w:r>
              <w:t xml:space="preserve">5</w:t>
            </w:r>
          </w:p>
        </w:tc>
        <w:tc>
          <w:tcPr/>
          <w:p>
            <w:pPr>
              <w:pStyle w:val="Compact"/>
            </w:pPr>
            <w:r>
              <w:rPr>
                <w:b/>
                <w:bCs/>
              </w:rPr>
              <w:t xml:space="preserve">A condenação da Requerida ao pagamento de juros de mora</w:t>
            </w:r>
            <w:r>
              <w:t xml:space="preserve"> </w:t>
            </w:r>
            <w:r>
              <w:t xml:space="preserve">à taxa legal desde a data do vencimento de cada quantia, nos termos do artigo 81.º do Código Civil.</w:t>
            </w:r>
          </w:p>
        </w:tc>
        <w:tc>
          <w:tcPr/>
          <w:p>
            <w:pPr>
              <w:pStyle w:val="Compact"/>
            </w:pPr>
          </w:p>
        </w:tc>
      </w:tr>
      <w:tr>
        <w:tc>
          <w:tcPr/>
          <w:p>
            <w:pPr>
              <w:pStyle w:val="Compact"/>
            </w:pPr>
            <w:r>
              <w:t xml:space="preserve">6</w:t>
            </w:r>
          </w:p>
        </w:tc>
        <w:tc>
          <w:tcPr/>
          <w:p>
            <w:pPr>
              <w:pStyle w:val="Compact"/>
            </w:pPr>
            <w:r>
              <w:rPr>
                <w:b/>
                <w:bCs/>
              </w:rPr>
              <w:t xml:space="preserve">A condenação da Requerida ao pagamento das custas processuais</w:t>
            </w:r>
            <w:r>
              <w:t xml:space="preserve"> </w:t>
            </w:r>
            <w:r>
              <w:t xml:space="preserve">e dos</w:t>
            </w:r>
            <w:r>
              <w:t xml:space="preserve"> </w:t>
            </w:r>
            <w:r>
              <w:rPr>
                <w:b/>
                <w:bCs/>
              </w:rPr>
              <w:t xml:space="preserve">honorários de sucumbência</w:t>
            </w:r>
            <w:r>
              <w:t xml:space="preserve">, nos termos do artigo 84.º do Código de Processo Civil, a fixar em</w:t>
            </w:r>
            <w:r>
              <w:t xml:space="preserve"> </w:t>
            </w:r>
            <w:r>
              <w:rPr>
                <w:b/>
                <w:bCs/>
              </w:rPr>
              <w:t xml:space="preserve">10 %</w:t>
            </w:r>
            <w:r>
              <w:t xml:space="preserve"> </w:t>
            </w:r>
            <w:r>
              <w:t xml:space="preserve">do valor da condenação.</w:t>
            </w:r>
          </w:p>
        </w:tc>
        <w:tc>
          <w:tcPr/>
          <w:p>
            <w:pPr>
              <w:pStyle w:val="Compact"/>
            </w:pPr>
          </w:p>
        </w:tc>
      </w:tr>
      <w:tr>
        <w:tc>
          <w:tcPr/>
          <w:p>
            <w:pPr>
              <w:pStyle w:val="Compact"/>
            </w:pPr>
            <w:r>
              <w:t xml:space="preserve">7</w:t>
            </w:r>
          </w:p>
        </w:tc>
        <w:tc>
          <w:tcPr/>
          <w:p>
            <w:pPr>
              <w:pStyle w:val="Compact"/>
            </w:pPr>
            <w:r>
              <w:rPr>
                <w:b/>
                <w:bCs/>
              </w:rPr>
              <w:t xml:space="preserve">A produção de prova documental</w:t>
            </w:r>
            <w:r>
              <w:t xml:space="preserve">, nomeadamente: (a) contrato de trabalho; (b) comprovativos de salários; (c) cópia da notificação de despedimento; (d) e‑mails enviados em 15/10/2025; (e) registo de férias e subsídios.</w:t>
            </w:r>
          </w:p>
        </w:tc>
        <w:tc>
          <w:tcPr/>
          <w:p>
            <w:pPr>
              <w:pStyle w:val="Compact"/>
            </w:pPr>
          </w:p>
        </w:tc>
      </w:tr>
      <w:tr>
        <w:tc>
          <w:tcPr/>
          <w:p>
            <w:pPr>
              <w:pStyle w:val="Compact"/>
            </w:pPr>
            <w:r>
              <w:t xml:space="preserve">8</w:t>
            </w:r>
          </w:p>
        </w:tc>
        <w:tc>
          <w:tcPr/>
          <w:p>
            <w:pPr>
              <w:pStyle w:val="Compact"/>
            </w:pPr>
            <w:r>
              <w:rPr>
                <w:b/>
                <w:bCs/>
              </w:rPr>
              <w:t xml:space="preserve">A oitiva de testemunhas</w:t>
            </w:r>
            <w:r>
              <w:t xml:space="preserve"> </w:t>
            </w:r>
            <w:r>
              <w:t xml:space="preserve">que comprovem o historial profissional do Requerente e a ausência de prejuízo à empresa.</w:t>
            </w:r>
          </w:p>
        </w:tc>
        <w:tc>
          <w:tcPr/>
          <w:p>
            <w:pPr>
              <w:pStyle w:val="Compact"/>
            </w:pPr>
            <w:r>
              <w:t xml:space="preserve">Art. 382.º do CPC.</w:t>
            </w:r>
          </w:p>
        </w:tc>
      </w:tr>
      <w:tr>
        <w:tc>
          <w:tcPr/>
          <w:p>
            <w:pPr>
              <w:pStyle w:val="Compact"/>
            </w:pPr>
            <w:r>
              <w:t xml:space="preserve">9</w:t>
            </w:r>
          </w:p>
        </w:tc>
        <w:tc>
          <w:tcPr/>
          <w:p>
            <w:pPr>
              <w:pStyle w:val="Compact"/>
            </w:pPr>
            <w:r>
              <w:rPr>
                <w:b/>
                <w:bCs/>
              </w:rPr>
              <w:t xml:space="preserve">A concessão de tutela de urgência</w:t>
            </w:r>
            <w:r>
              <w:t xml:space="preserve"> </w:t>
            </w:r>
            <w:r>
              <w:t xml:space="preserve">para a suspensão dos efeitos do despedimento, nos termos do artigo 798.º do CPC, garantindo ao Requerente o acesso ao local de trabalho até decisão final.</w:t>
            </w:r>
          </w:p>
        </w:tc>
        <w:tc>
          <w:tcPr/>
          <w:p>
            <w:pPr>
              <w:pStyle w:val="Compact"/>
            </w:pPr>
            <w:r>
              <w:t xml:space="preserve">Risco de dano irreparável ao trabalhador.</w:t>
            </w:r>
          </w:p>
        </w:tc>
      </w:tr>
    </w:tbl>
    <w:bookmarkEnd w:id="17"/>
    <w:bookmarkStart w:id="18" w:name="iv-do-valor-da-causa"/>
    <w:p>
      <w:pPr>
        <w:pStyle w:val="Heading3"/>
      </w:pPr>
      <w:r>
        <w:t xml:space="preserve">IV – DO VALOR DA CAUSA</w:t>
      </w:r>
    </w:p>
    <w:p>
      <w:pPr>
        <w:pStyle w:val="FirstParagraph"/>
      </w:pPr>
      <w:r>
        <w:t xml:space="preserve">Atribui‑se à presente ação o valor de</w:t>
      </w:r>
      <w:r>
        <w:t xml:space="preserve"> </w:t>
      </w:r>
      <w:r>
        <w:rPr>
          <w:b/>
          <w:bCs/>
        </w:rPr>
        <w:t xml:space="preserve">447 600,00 €</w:t>
      </w:r>
      <w:r>
        <w:t xml:space="preserve">, correspondente à soma da indemnização por despedimento ilícito (432 000,00 €) mais as verbas de salários e demais prestações (15 600,00 €).</w:t>
      </w:r>
    </w:p>
    <w:bookmarkEnd w:id="18"/>
    <w:bookmarkStart w:id="19" w:name="v-dos-requerimentos-finais"/>
    <w:p>
      <w:pPr>
        <w:pStyle w:val="Heading3"/>
      </w:pPr>
      <w:r>
        <w:t xml:space="preserve">V – DOS REQUERIMENTOS FINAIS</w:t>
      </w:r>
    </w:p>
    <w:p>
      <w:pPr>
        <w:pStyle w:val="Compact"/>
        <w:numPr>
          <w:ilvl w:val="0"/>
          <w:numId w:val="1006"/>
        </w:numPr>
      </w:pPr>
      <w:r>
        <w:rPr>
          <w:b/>
          <w:bCs/>
        </w:rPr>
        <w:t xml:space="preserve">A admissão da presente petição inicial</w:t>
      </w:r>
      <w:r>
        <w:t xml:space="preserve"> </w:t>
      </w:r>
      <w:r>
        <w:t xml:space="preserve">e a sua regular tramitação.</w:t>
      </w:r>
      <w:r>
        <w:br/>
      </w:r>
    </w:p>
    <w:p>
      <w:pPr>
        <w:pStyle w:val="Compact"/>
        <w:numPr>
          <w:ilvl w:val="0"/>
          <w:numId w:val="1006"/>
        </w:numPr>
      </w:pPr>
      <w:r>
        <w:rPr>
          <w:b/>
          <w:bCs/>
        </w:rPr>
        <w:t xml:space="preserve">A citação da Requerida</w:t>
      </w:r>
      <w:r>
        <w:t xml:space="preserve"> </w:t>
      </w:r>
      <w:r>
        <w:t xml:space="preserve">para, querendo, apresentar contestação, nos termos do artigo 562.º do CPC.</w:t>
      </w:r>
      <w:r>
        <w:br/>
      </w:r>
    </w:p>
    <w:p>
      <w:pPr>
        <w:pStyle w:val="Compact"/>
        <w:numPr>
          <w:ilvl w:val="0"/>
          <w:numId w:val="1006"/>
        </w:numPr>
      </w:pPr>
      <w:r>
        <w:rPr>
          <w:b/>
          <w:bCs/>
        </w:rPr>
        <w:t xml:space="preserve">A intimação do Ministério Público</w:t>
      </w:r>
      <w:r>
        <w:t xml:space="preserve"> </w:t>
      </w:r>
      <w:r>
        <w:t xml:space="preserve">para que, se entender necessário, intervenha no processo.</w:t>
      </w:r>
      <w:r>
        <w:br/>
      </w:r>
    </w:p>
    <w:p>
      <w:pPr>
        <w:pStyle w:val="Compact"/>
        <w:numPr>
          <w:ilvl w:val="0"/>
          <w:numId w:val="1006"/>
        </w:numPr>
      </w:pPr>
      <w:r>
        <w:rPr>
          <w:b/>
          <w:bCs/>
        </w:rPr>
        <w:t xml:space="preserve">A produção de todos os meios de prova</w:t>
      </w:r>
      <w:r>
        <w:t xml:space="preserve"> </w:t>
      </w:r>
      <w:r>
        <w:t xml:space="preserve">acima indicados, bem como os que se revelarem pertinentes ao longo da instrução.</w:t>
      </w:r>
    </w:p>
    <w:p>
      <w:pPr>
        <w:pStyle w:val="FirstParagraph"/>
      </w:pPr>
      <w:r>
        <w:t xml:space="preserve">Nestes termos, e nos melhores de Direito, pede deferimento.</w:t>
      </w:r>
    </w:p>
    <w:p>
      <w:pPr>
        <w:pStyle w:val="BodyText"/>
      </w:pPr>
      <w:r>
        <w:t xml:space="preserve">Lisboa, 15 de fevereiro de 2026</w:t>
      </w:r>
    </w:p>
    <w:p>
      <w:r>
        <w:pict>
          <v:rect style="width:0;height:1.5pt" o:hralign="center" o:hrstd="t" o:hr="t"/>
        </w:pict>
      </w:r>
    </w:p>
    <w:p>
      <w:pPr>
        <w:pStyle w:val="FirstParagraph"/>
      </w:pPr>
      <w:r>
        <w:rPr>
          <w:b/>
          <w:bCs/>
        </w:rPr>
        <w:t xml:space="preserve">José Manuel da Silva</w:t>
      </w:r>
      <w:r>
        <w:br/>
      </w:r>
      <w:r>
        <w:rPr>
          <w:i/>
          <w:iCs/>
        </w:rPr>
        <w:t xml:space="preserve">Requerente</w:t>
      </w:r>
    </w:p>
    <w:p>
      <w:pPr>
        <w:pStyle w:val="BodyText"/>
      </w:pPr>
      <w:r>
        <w:rPr>
          <w:b/>
          <w:bCs/>
        </w:rPr>
        <w:t xml:space="preserve">Dr. António Ribeiro</w:t>
      </w:r>
      <w:r>
        <w:t xml:space="preserve"> </w:t>
      </w:r>
      <w:r>
        <w:t xml:space="preserve">– OAB 12345</w:t>
      </w:r>
      <w:r>
        <w:br/>
      </w:r>
      <w:r>
        <w:rPr>
          <w:b/>
          <w:bCs/>
        </w:rPr>
        <w:t xml:space="preserve">Dra. Sofia Carvalho</w:t>
      </w:r>
      <w:r>
        <w:t xml:space="preserve"> </w:t>
      </w:r>
      <w:r>
        <w:t xml:space="preserve">– OAB 67890</w:t>
      </w:r>
    </w:p>
    <w:p>
      <w:pPr>
        <w:pStyle w:val="BodyText"/>
      </w:pPr>
      <w:r>
        <w:rPr>
          <w:i/>
          <w:iCs/>
        </w:rPr>
        <w:t xml:space="preserve">Advogados</w:t>
      </w:r>
    </w:p>
    <w:p>
      <w:r>
        <w:pict>
          <v:rect style="width:0;height:1.5pt" o:hralign="center" o:hrstd="t" o:hr="t"/>
        </w:pict>
      </w:r>
    </w:p>
    <w:p>
      <w:pPr>
        <w:pStyle w:val="FirstParagraph"/>
      </w:pPr>
      <w:r>
        <w:rPr>
          <w:i/>
          <w:iCs/>
        </w:rPr>
        <w:t xml:space="preserve">Anexos:</w:t>
      </w:r>
    </w:p>
    <w:p>
      <w:pPr>
        <w:pStyle w:val="Compact"/>
        <w:numPr>
          <w:ilvl w:val="0"/>
          <w:numId w:val="1007"/>
        </w:numPr>
      </w:pPr>
      <w:r>
        <w:t xml:space="preserve">Cópia do contrato de trabalho.</w:t>
      </w:r>
      <w:r>
        <w:br/>
      </w:r>
    </w:p>
    <w:p>
      <w:pPr>
        <w:pStyle w:val="Compact"/>
        <w:numPr>
          <w:ilvl w:val="0"/>
          <w:numId w:val="1007"/>
        </w:numPr>
      </w:pPr>
      <w:r>
        <w:t xml:space="preserve">Extratos bancários comprovativos dos salários.</w:t>
      </w:r>
      <w:r>
        <w:br/>
      </w:r>
    </w:p>
    <w:p>
      <w:pPr>
        <w:pStyle w:val="Compact"/>
        <w:numPr>
          <w:ilvl w:val="0"/>
          <w:numId w:val="1007"/>
        </w:numPr>
      </w:pPr>
      <w:r>
        <w:t xml:space="preserve">Cópia da notificação de despedimento (20/11/2025).</w:t>
      </w:r>
      <w:r>
        <w:br/>
      </w:r>
    </w:p>
    <w:p>
      <w:pPr>
        <w:pStyle w:val="Compact"/>
        <w:numPr>
          <w:ilvl w:val="0"/>
          <w:numId w:val="1007"/>
        </w:numPr>
      </w:pPr>
      <w:r>
        <w:t xml:space="preserve">Cópia dos e‑mails enviados em 15/10/2025.</w:t>
      </w:r>
      <w:r>
        <w:br/>
      </w:r>
    </w:p>
    <w:p>
      <w:pPr>
        <w:pStyle w:val="Compact"/>
        <w:numPr>
          <w:ilvl w:val="0"/>
          <w:numId w:val="1007"/>
        </w:numPr>
      </w:pPr>
      <w:r>
        <w:t xml:space="preserve">Cálculo detalhado da indemnização (30 dias/ano × 12 anos × 1 200,00 €).</w:t>
      </w:r>
    </w:p>
    <w:bookmarkEnd w:id="19"/>
    <w:bookmarkEnd w:id="20"/>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1"/>
  </w:num>
  <w:num w:numId="1005">
    <w:abstractNumId w:val="991"/>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2026-02-22T18:50:38Z</dcterms:created>
  <dcterms:modified xsi:type="dcterms:W3CDTF">2026-02-22T18:50:38Z</dcterms:modified>
</cp:coreProperties>
</file>

<file path=docProps/custom.xml><?xml version="1.0" encoding="utf-8"?>
<Properties xmlns="http://schemas.openxmlformats.org/officeDocument/2006/custom-properties" xmlns:vt="http://schemas.openxmlformats.org/officeDocument/2006/docPropsVTypes"/>
</file>